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33D8" w:rsidRPr="00C34AAB">
        <w:trPr>
          <w:trHeight w:hRule="exact" w:val="1666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D33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33D8" w:rsidRPr="00C34A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33D8" w:rsidRPr="00C34AAB">
        <w:trPr>
          <w:trHeight w:hRule="exact" w:val="211"/>
        </w:trPr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277"/>
        </w:trPr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33D8" w:rsidRPr="00C34AAB">
        <w:trPr>
          <w:trHeight w:hRule="exact" w:val="972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33D8">
        <w:trPr>
          <w:trHeight w:hRule="exact" w:val="277"/>
        </w:trPr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33D8">
        <w:trPr>
          <w:trHeight w:hRule="exact" w:val="277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33D8">
        <w:trPr>
          <w:trHeight w:hRule="exact" w:val="1496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К.М.06.02.04</w:t>
            </w:r>
          </w:p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33D8" w:rsidRPr="00C34AAB">
        <w:trPr>
          <w:trHeight w:hRule="exact" w:val="1396"/>
        </w:trPr>
        <w:tc>
          <w:tcPr>
            <w:tcW w:w="426" w:type="dxa"/>
          </w:tcPr>
          <w:p w:rsidR="003D33D8" w:rsidRDefault="003D33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33D8" w:rsidRPr="00C34A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33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155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33D8" w:rsidRPr="00C34A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33D8" w:rsidRPr="00C34A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D33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D33D8">
        <w:trPr>
          <w:trHeight w:hRule="exact" w:val="307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>
        <w:trPr>
          <w:trHeight w:hRule="exact" w:val="1695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33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34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33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33D8" w:rsidRPr="00C34A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33D8">
        <w:trPr>
          <w:trHeight w:hRule="exact" w:val="555"/>
        </w:trPr>
        <w:tc>
          <w:tcPr>
            <w:tcW w:w="9640" w:type="dxa"/>
          </w:tcPr>
          <w:p w:rsidR="003D33D8" w:rsidRDefault="003D33D8"/>
        </w:tc>
      </w:tr>
      <w:tr w:rsidR="003D33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33D8" w:rsidRPr="00C34A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мире» в течение 2021/2022 учебного года: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D33D8" w:rsidRPr="00C34AA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К.М.06.02.04 «Технологии развития первичных представлений дошкольников об окружающем мире».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33D8" w:rsidRPr="00C34AA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33D8" w:rsidRPr="00C34A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3D8" w:rsidRPr="00C34A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D33D8" w:rsidRPr="00C34A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D33D8" w:rsidRPr="00C34A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D33D8" w:rsidRPr="00C34AAB">
        <w:trPr>
          <w:trHeight w:hRule="exact" w:val="277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3D33D8" w:rsidRPr="00C34A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D33D8" w:rsidRPr="00C34AAB">
        <w:trPr>
          <w:trHeight w:hRule="exact" w:val="416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D33D8" w:rsidRPr="00C34AAB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К.М.06.02.04 «Технологии развития первичных представлений дошкольников об окружающем мире»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D33D8" w:rsidRPr="00C34A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33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3D33D8"/>
        </w:tc>
      </w:tr>
      <w:tr w:rsidR="003D33D8" w:rsidRPr="00C34A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3D33D8" w:rsidRDefault="00534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3D33D8" w:rsidRPr="00C34A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33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3D8">
        <w:trPr>
          <w:trHeight w:hRule="exact" w:val="416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D33D8">
        <w:trPr>
          <w:trHeight w:hRule="exact" w:val="277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33D8">
        <w:trPr>
          <w:trHeight w:hRule="exact" w:val="416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33D8" w:rsidRPr="00C34AA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33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33D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D33D8" w:rsidRPr="00C34AAB">
        <w:trPr>
          <w:trHeight w:hRule="exact" w:val="4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3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33D8" w:rsidRPr="00C34A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3D33D8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естествознания как синтетическая наука.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математико-статистические). 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3D33D8" w:rsidRPr="00C34AA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3D33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3D33D8" w:rsidRPr="00C34AAB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 игровой деятельности в процессе преподавания естествознания и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3D3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3D33D8" w:rsidRPr="00C34A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3D33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3D33D8" w:rsidRPr="00C34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3D33D8" w:rsidRPr="00C34AA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</w:t>
            </w:r>
          </w:p>
        </w:tc>
      </w:tr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33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 w:rsidRPr="00C34A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3D33D8" w:rsidRPr="00C34A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Ознакомление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 w:rsidRPr="00C34AAB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3D33D8" w:rsidRPr="00C34A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33D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RPr="00C34A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3D33D8" w:rsidRPr="00C34A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3D33D8" w:rsidRPr="00C34A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3D33D8" w:rsidRPr="00C34A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RPr="00C34A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3D33D8" w:rsidRPr="00C34A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3D33D8" w:rsidRPr="00C34AAB">
        <w:trPr>
          <w:trHeight w:hRule="exact" w:val="1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33D8" w:rsidRPr="00C34AAB">
        <w:trPr>
          <w:trHeight w:hRule="exact" w:val="6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Экологическое образование и воспитание дошкольников на занятиях окружающего мира</w:t>
            </w:r>
          </w:p>
        </w:tc>
      </w:tr>
      <w:tr w:rsidR="003D33D8" w:rsidRPr="00C34AA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33D8" w:rsidRPr="00C34A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мире» / Арбузова Е.Н.. – Омск: Изд-во Омской гуманитарной академии, 0.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33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33D8" w:rsidRPr="00C34A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4" w:history="1">
              <w:r w:rsidR="00974599">
                <w:rPr>
                  <w:rStyle w:val="a3"/>
                  <w:lang w:val="ru-RU"/>
                </w:rPr>
                <w:t>https://urait.ru/bcode/438826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74599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3D33D8" w:rsidRPr="00C34A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6" w:history="1">
              <w:r w:rsidR="00974599">
                <w:rPr>
                  <w:rStyle w:val="a3"/>
                  <w:lang w:val="ru-RU"/>
                </w:rPr>
                <w:t>https://urait.ru/bcode/430894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 w:rsidRPr="00C34AA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7" w:history="1">
              <w:r w:rsidR="00974599">
                <w:rPr>
                  <w:rStyle w:val="a3"/>
                  <w:lang w:val="ru-RU"/>
                </w:rPr>
                <w:t>https://urait.ru/bcode/442378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>
        <w:trPr>
          <w:trHeight w:hRule="exact" w:val="304"/>
        </w:trPr>
        <w:tc>
          <w:tcPr>
            <w:tcW w:w="285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33D8" w:rsidRPr="00C34A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8" w:history="1">
              <w:r w:rsidR="00974599">
                <w:rPr>
                  <w:rStyle w:val="a3"/>
                  <w:lang w:val="ru-RU"/>
                </w:rPr>
                <w:t>https://urait.ru/bcode/437375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 w:rsidRPr="00C34A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9" w:history="1">
              <w:r w:rsidR="00974599">
                <w:rPr>
                  <w:rStyle w:val="a3"/>
                  <w:lang w:val="ru-RU"/>
                </w:rPr>
                <w:t>https://urait.ru/bcode/429442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974599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33D8" w:rsidRPr="00C34AAB">
        <w:trPr>
          <w:trHeight w:hRule="exact" w:val="4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C6A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33D8" w:rsidRPr="00C34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33D8" w:rsidRPr="00C34AAB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33D8" w:rsidRPr="00C34A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33D8" w:rsidRPr="00C34A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33D8" w:rsidRPr="00C34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33D8" w:rsidRPr="00C34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33D8" w:rsidRPr="00C34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33D8" w:rsidRPr="00C34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9745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33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33D8" w:rsidRPr="00C34AAB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33D8" w:rsidRPr="00C34AAB">
        <w:trPr>
          <w:trHeight w:hRule="exact" w:val="277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C34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33D8" w:rsidRPr="00C34AAB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C34AA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C6A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D33D8" w:rsidRPr="00C34AA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8C6A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D33D8" w:rsidRPr="00534EA2" w:rsidRDefault="003D33D8">
      <w:pPr>
        <w:rPr>
          <w:lang w:val="ru-RU"/>
        </w:rPr>
      </w:pPr>
    </w:p>
    <w:sectPr w:rsidR="003D33D8" w:rsidRPr="00534EA2" w:rsidSect="003D33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2579"/>
    <w:rsid w:val="003D33D8"/>
    <w:rsid w:val="00534EA2"/>
    <w:rsid w:val="00696516"/>
    <w:rsid w:val="008C6A3E"/>
    <w:rsid w:val="00974599"/>
    <w:rsid w:val="00C34AAB"/>
    <w:rsid w:val="00D31453"/>
    <w:rsid w:val="00E209E2"/>
    <w:rsid w:val="00E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933A8-0FEF-4C0A-BD4E-D1AA70A7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A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237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9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826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7338</Words>
  <Characters>41828</Characters>
  <Application>Microsoft Office Word</Application>
  <DocSecurity>0</DocSecurity>
  <Lines>348</Lines>
  <Paragraphs>98</Paragraphs>
  <ScaleCrop>false</ScaleCrop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развития первичных представлений дошкольников об окружающем мире</dc:title>
  <dc:creator>FastReport.NET</dc:creator>
  <cp:lastModifiedBy>Mark Bernstorf</cp:lastModifiedBy>
  <cp:revision>7</cp:revision>
  <dcterms:created xsi:type="dcterms:W3CDTF">2022-03-07T16:55:00Z</dcterms:created>
  <dcterms:modified xsi:type="dcterms:W3CDTF">2022-11-13T18:42:00Z</dcterms:modified>
</cp:coreProperties>
</file>